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1558</w:t>
        <w:t xml:space="preserve">.  </w:t>
      </w:r>
      <w:r>
        <w:rPr>
          <w:b/>
        </w:rPr>
        <w:t xml:space="preserve">Authority for blood or tissue-typing tests</w:t>
      </w:r>
    </w:p>
    <w:p>
      <w:pPr>
        <w:jc w:val="both"/>
        <w:spacing w:before="100" w:after="100"/>
        <w:ind w:start="360"/>
      </w:pPr>
      <w:r>
        <w:rPr>
          <w:b/>
        </w:rPr>
        <w:t>(REPEALED)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2015, c. 296, Pt. B, §5 (RP). PL 2015, c. 296, Pt. D, §1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§1558. Authority for blood or tissue-typing tests</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§1558. Authority for blood or tissue-typing tests</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§1558. AUTHORITY FOR BLOOD OR TISSUE-TYPING TESTS</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