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1731</w:t>
        <w:t xml:space="preserve">.  </w:t>
      </w:r>
      <w:r>
        <w:rPr>
          <w:b/>
        </w:rPr>
        <w:t xml:space="preserve">Short title</w:t>
      </w:r>
    </w:p>
    <w:p>
      <w:pPr>
        <w:jc w:val="both"/>
        <w:spacing w:before="100" w:after="100"/>
        <w:ind w:start="360"/>
        <w:ind w:firstLine="360"/>
      </w:pPr>
      <w:r>
        <w:rPr/>
      </w:r>
      <w:r>
        <w:rPr/>
      </w:r>
      <w:r>
        <w:t xml:space="preserve">This chapter may be cited as the Uniform Child Custody Jurisdiction and Enforcement Act.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§1731. Short title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§1731. Short title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§1731. SHORT TITLE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