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2012</w:t>
        <w:t xml:space="preserve">.  </w:t>
      </w:r>
      <w:r>
        <w:rPr>
          <w:b/>
        </w:rPr>
        <w:t xml:space="preserve">Medical support</w:t>
      </w:r>
    </w:p>
    <w:p>
      <w:pPr>
        <w:jc w:val="both"/>
        <w:spacing w:before="100" w:after="100"/>
        <w:ind w:start="360"/>
        <w:ind w:firstLine="360"/>
      </w:pPr>
      <w:r>
        <w:rPr/>
      </w:r>
      <w:r>
        <w:rPr/>
      </w:r>
      <w:r>
        <w:t xml:space="preserve">The department, after consultation with the Supreme Judicial Court and interested parties, shall adopt rules in accordance with </w:t>
      </w:r>
      <w:r>
        <w:t>Title 5, chapter 375</w:t>
      </w:r>
      <w:r>
        <w:t xml:space="preserve"> establishing medical support.  Rules adopted pursuant to this section are routine technical rules pursuant to </w:t>
      </w:r>
      <w:r>
        <w:t>Title 5, chapter 375, subchapter 2‑A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2007, c. 448, §4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448, §4 (NEW).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§2012. Medical support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§2012. Medical support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§2012. MEDICAL SUPPORT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