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MAINE EDUCATIONAL CENTER FOR THE DEAF AND HARD OF HEARING AND THE GOVERNOR BAXTER SCHOOL FOR THE DEAF</w:t>
      </w:r>
    </w:p>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304. MAINE EDUCATIONAL CENTER FOR THE DEAF AND HARD OF HEARING AND THE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