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STUDENTS IN LONG-TERM DRUG TREATMENT CENTERS</w:t>
      </w:r>
    </w:p>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327. STUDENTS IN LONG-TERM DRUG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STUDENTS IN LONG-TERM DRUG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327. STUDENTS IN LONG-TERM DRUG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