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612</w:t>
      </w:r>
    </w:p>
    <w:p>
      <w:pPr>
        <w:jc w:val="center"/>
        <w:ind w:start="360"/>
        <w:spacing w:before="300" w:after="300"/>
      </w:pPr>
      <w:r>
        <w:rPr>
          <w:b/>
        </w:rPr>
        <w:t xml:space="preserve">INNOVATIVE EDUCATIONAL GRANTS</w:t>
      </w:r>
    </w:p>
    <w:p>
      <w:pPr>
        <w:jc w:val="center"/>
        <w:ind w:start="360"/>
        <w:spacing w:before="300" w:after="300"/>
      </w:pPr>
      <w:r>
        <w:rPr>
          <w:b/>
        </w:rPr>
        <w:t>(REPEALED)</w:t>
      </w:r>
    </w:p>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612. INNOVATIVE EDUCATIONAL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612. INNOVATIVE EDUCATIONAL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612. INNOVATIVE EDUCATIONAL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