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§10802. UNLAWFUL TO ISSUE, MANUFACTURE, OR USE FALSE ACADEMIC DEGREES;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