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10958</w:t>
        <w:t xml:space="preserve">.  </w:t>
      </w:r>
      <w:r>
        <w:rPr>
          <w:b/>
        </w:rPr>
        <w:t xml:space="preserve">Remedies</w:t>
      </w:r>
    </w:p>
    <w:p>
      <w:pPr>
        <w:jc w:val="both"/>
        <w:spacing w:before="100" w:after="100"/>
        <w:ind w:start="360"/>
        <w:ind w:firstLine="360"/>
      </w:pPr>
      <w:r>
        <w:rPr/>
      </w:r>
      <w:r>
        <w:rPr/>
      </w:r>
      <w:r>
        <w:t xml:space="preserve">Any holder of evidences of indebtedness issued under this chapter or of any of the coupons appertaining to this chapter, and the trustee under any resolution or trust agreement, except to the extent the rights given may be restricted by the resolution authorizing the issuance of evidences of indebtedness or a trust agreement or applicable financing document, may, by action, mandamus or other proceeding, protect and enforce any and all rights under the laws of the State or granted under this chapter or under the resolution, financing documents or trust agreement, including the appointment of a receiver of pledged amounts or a project, and may enforce and compel the performance of all duties required by this chapter or by the resolution, financing document or trust agreement to be performed by the university, including the collecting of rates, rents, fees and charges for the use of any or all of its facilities or projects.  Any such suit, action or proceeding shall be brought for the benefit of all the holders of evidences of indebtedness and coupons.</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§10958.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§10958.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§10958.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