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11003</w:t>
        <w:t xml:space="preserve">.  </w:t>
      </w:r>
      <w:r>
        <w:rPr>
          <w:b/>
        </w:rPr>
        <w:t xml:space="preserve">Entry into force - Article III</w:t>
      </w:r>
    </w:p>
    <w:p>
      <w:pPr>
        <w:jc w:val="both"/>
        <w:spacing w:before="100" w:after="100"/>
        <w:ind w:start="360"/>
        <w:ind w:firstLine="360"/>
      </w:pPr>
      <w:r>
        <w:rPr/>
      </w:r>
      <w:r>
        <w:rPr/>
      </w:r>
      <w:r>
        <w:t xml:space="preserve">This compact shall become operative immediately as to those states executing it whenever any 2 or more of the States of Maine, Vermont, New Hampshire, Massachusetts, Rhode Island and Connecticut have executed it in the form which is in accordance with the laws of the respective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§11003. Entry into force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§11003. Entry into force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§11003. ENTRY INTO FORCE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