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3</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chapter, the authority may covenant, elect and consent that the interest on the bonds be includable under th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code or any subsequent law.  Bonds issued pursuant to this section are not subject to any limitations or restrictions of any law that may limit the authority's power to issue those bonds.  The foregoing grant of power may not be construed as limiting the inherent power of the State or its agencies under any other provision of law to issue debt, the interest on which is includable in the gross income of the holders under th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3.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3.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3.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