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12711</w:t>
        <w:t xml:space="preserve">.  </w:t>
      </w:r>
      <w:r>
        <w:rPr>
          <w:b/>
        </w:rPr>
        <w:t xml:space="preserve">Presidents of the colleges</w:t>
      </w:r>
    </w:p>
    <w:p>
      <w:pPr>
        <w:jc w:val="both"/>
        <w:spacing w:before="100" w:after="100"/>
        <w:ind w:start="360"/>
        <w:ind w:firstLine="360"/>
      </w:pPr>
      <w:r>
        <w:rPr/>
      </w:r>
      <w:r>
        <w:rPr/>
      </w:r>
      <w:r>
        <w:t xml:space="preserve">The president of the system shall nominate the presidents for appointment by the board of trustees.  The presidents must be qualified by education and experience and shall serve at the pleasure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1989, c. 443, §47 (AMD); PL 1989, c. 878, Pt. I,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443, §47 (AMD). PL 1989, c. 878, §I9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§12711. Presidents of the colleges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§12711. Presidents of the colleges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§12711. PRESIDENTS OF THE COLLEGES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