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12927</w:t>
        <w:t xml:space="preserve">.  </w:t>
      </w:r>
      <w:r>
        <w:rPr>
          <w:b/>
        </w:rPr>
        <w:t xml:space="preserve">Administration; rules</w:t>
      </w:r>
    </w:p>
    <w:p>
      <w:pPr>
        <w:jc w:val="both"/>
        <w:spacing w:before="100" w:after="100"/>
        <w:ind w:start="360"/>
        <w:ind w:firstLine="360"/>
      </w:pPr>
      <w:r>
        <w:rPr/>
      </w:r>
      <w:r>
        <w:rPr/>
      </w:r>
      <w:r>
        <w:t xml:space="preserve">The authority shall administer the program and the fund.  The authority shall adopt rules to carry out the purposes of this chapter.  Rules adopted pursuant to this section are routine technical rules pursuant to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§12927. Administration;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§12927. Administration;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§12927. ADMINISTRATION;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