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Budget preparation</w:t>
      </w:r>
    </w:p>
    <w:p>
      <w:pPr>
        <w:jc w:val="both"/>
        <w:spacing w:before="100" w:after="100"/>
        <w:ind w:start="360"/>
        <w:ind w:firstLine="360"/>
      </w:pPr>
      <w:r>
        <w:rPr/>
      </w:r>
      <w:r>
        <w:rPr/>
      </w:r>
      <w:r>
        <w:t xml:space="preserve">The district budget shall be prepared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Preparation by board.</w:t>
        <w:t xml:space="preserve"> </w:t>
      </w:r>
      <w:r>
        <w:t xml:space="preserve"> </w:t>
      </w:r>
      <w:r>
        <w:t xml:space="preserve">The board of directors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Rentals and other charges in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 lease or agreement with the Maine School Building Authority;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the district budget meeting, the board of directors shall make available to the legislative body responsible for final budget approval and residents of the district, a detailed budget document.  It shall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Budget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Budget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 BUDGET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