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Budget meeting</w:t>
      </w:r>
    </w:p>
    <w:p>
      <w:pPr>
        <w:jc w:val="both"/>
        <w:spacing w:before="100" w:after="100"/>
        <w:ind w:start="360"/>
        <w:ind w:firstLine="360"/>
      </w:pPr>
      <w:r>
        <w:rPr/>
      </w:r>
      <w:r>
        <w:rPr/>
      </w:r>
      <w:r>
        <w:t xml:space="preserve">The school board shall hold a district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shall be called by a warrant.  The warrant shall:</w:t>
      </w:r>
    </w:p>
    <w:p>
      <w:pPr>
        <w:jc w:val="both"/>
        <w:spacing w:before="100" w:after="0"/>
        <w:ind w:start="720"/>
      </w:pPr>
      <w:r>
        <w:rPr/>
        <w:t>A</w:t>
        <w:t xml:space="preserve">.  </w:t>
      </w:r>
      <w:r>
        <w:rPr/>
      </w:r>
      <w:r>
        <w:t xml:space="preserve">Be signed by a majority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Include the proposed school budget and other articles the school board chooses to place before the voters, excluding authorization to borrow money for school construction purposes unless the alternate voting procedures of </w:t>
      </w:r>
      <w:r>
        <w:t>section 1305</w:t>
      </w:r>
      <w:r>
        <w:t xml:space="preserve"> are employed;</w:t>
      </w:r>
      <w:r>
        <w:t xml:space="preserve">  </w:t>
      </w:r>
      <w:r xmlns:wp="http://schemas.openxmlformats.org/drawingml/2010/wordprocessingDrawing" xmlns:w15="http://schemas.microsoft.com/office/word/2012/wordml">
        <w:rPr>
          <w:rFonts w:ascii="Arial" w:hAnsi="Arial" w:cs="Arial"/>
          <w:sz w:val="22"/>
          <w:szCs w:val="22"/>
        </w:rPr>
        <w:t xml:space="preserve">[PL 1999, c. 81, §1 (AMD).]</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Be directed to a resident of the district by name ordering the resident to notify all voters within the district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81, §1 (AMD).]</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shall be posted by the person to whom it is directed in some conspicuous public place in each of the municipalities within the district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district, the board of directors shall place specific articles, not in conflict with existing state statutes, in the warrants for consideration at the next annual district budget meeting.  To be included in the warrant a petition shall be received by the board of directors at least 15 days before the date set for the budget meeting.  When placed on the warrant, the articles shall be considered before action relating to the appropriation of money for the operation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1999, c. 81,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§1303.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§1303.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