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15003</w:t>
        <w:t xml:space="preserve">.  </w:t>
      </w:r>
      <w:r>
        <w:rPr>
          <w:b/>
        </w:rPr>
        <w:t xml:space="preserve">School fiscal year</w:t>
      </w:r>
    </w:p>
    <w:p>
      <w:pPr>
        <w:jc w:val="both"/>
        <w:spacing w:before="100" w:after="100"/>
        <w:ind w:start="360"/>
        <w:ind w:firstLine="360"/>
      </w:pPr>
      <w:r>
        <w:rPr/>
      </w:r>
      <w:r>
        <w:rPr/>
      </w:r>
      <w:r>
        <w:t xml:space="preserve">Notwithstanding any statute or charter provision to the contrary, a school administrative unit shall annually adopt a school budget for a period beginning on July 1st and ending on June 30th.</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§15003. School fiscal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§15003. School fiscal year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§15003. SCHOOL FISCAL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