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Regional school unit referendum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§1501. REGIONAL SCHOOL UNIT REFERENDUM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