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505, §12 (AMD). PL 1987, c. 848, §1 (AMD). PL 1989, c. 875, §E27 (AMD). RR 1991, c. 2, §70 (COR). PL 1991, c. 528, §I7 (AMD). PL 1991, c. 528, §RRR (AFF). PL 1991, c. 591, §I7 (AMD). PL 1991, c. 625, §1 (AMD). PL 1991, c. 625, §5 (AFF). PL 1991, c. 802, §3 (AMD). PL 1993, c. 410, §F5 (AMD). PL 1993, c. 684, §3 (AMD). PL 1995, c. 368, §Y1 (AMD). PL 1997, c. 469, §1 (AMD). PL 1997, c. 643, §D1 (AMD). PL 1999, c. 401, §GG1 (AMD). PL 1999, c. 731, §D1 (AMD). PL 2001, c. 358, §U1 (AMD). PL 2001, c. 559, §D1 (AMD). PL 2001, c. 714, §FF1 (AMD). PL 2003, c. 20, §C2 (AMD). PL 2003, c. 504, §§B2-15 (AMD). PL 2003, c. 688, §§A16,17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§15602.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§15602.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§15602.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