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19251</w:t>
        <w:t xml:space="preserve">.  </w:t>
      </w:r>
      <w:r>
        <w:rPr>
          <w:b/>
        </w:rPr>
        <w:t xml:space="preserve">Digital Literacy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Digital Literacy Fund, referred to in this section as "the fund," is established as an interest-bearing account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2</w:t>
        <w:t xml:space="preserve">.  </w:t>
      </w:r>
      <w:r>
        <w:rPr>
          <w:b/>
        </w:rPr>
        <w:t xml:space="preserve">Revenue.</w:t>
        <w:t xml:space="preserve"> </w:t>
      </w:r>
      <w:r>
        <w:t xml:space="preserve"> </w:t>
      </w:r>
      <w:r>
        <w:t xml:space="preserve">Any private or public funds appropriated, allocated or dedicated to the fund must be deposited into the fund as well as income from any other source directed to the fund. All interest earned by the fund becomes part of the fund. Any balance remaining in the fund at the end of the fiscal year does not lapse but is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354, §3 (NEW).]</w:t>
      </w:r>
    </w:p>
    <w:p>
      <w:pPr>
        <w:jc w:val="both"/>
        <w:spacing w:before="100" w:after="0"/>
        <w:ind w:start="360"/>
        <w:ind w:firstLine="360"/>
      </w:pPr>
      <w:r>
        <w:rPr>
          <w:b/>
        </w:rPr>
        <w:t>3</w:t>
        <w:t xml:space="preserve">.  </w:t>
      </w:r>
      <w:r>
        <w:rPr>
          <w:b/>
        </w:rPr>
        <w:t xml:space="preserve">Use of fund; technical assistance.</w:t>
        <w:t xml:space="preserve"> </w:t>
      </w:r>
      <w:r>
        <w:t xml:space="preserve"> </w:t>
      </w:r>
      <w:r>
        <w:t xml:space="preserve">Balances in the fund may be used for the necessary expenses of the department in the administration of the fund.  Balances in the fund may be used to pay for the development of a program of technical assistance pursuant to </w:t>
      </w:r>
      <w:r>
        <w:t>section 254, subsection 15</w:t>
      </w:r>
      <w:r>
        <w:t xml:space="preserve"> that designs instructional materials that promote digital literacy, teacher professional development and training on the use of online learning resources, new administrative costs and other expenses not related to a learning through technology program funded under </w:t>
      </w:r>
      <w:r>
        <w:t>section 15689‑A, subsection 12‑A</w:t>
      </w:r>
      <w:r>
        <w:t xml:space="preserve"> and for the implementation of a new clearinghouse for information on the use of online learning resources, including best practices in the use of open educational resources and open-source textbooks for elementary schools, middle schools and high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§30 (COR). PL 2011, c. 354,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§19251. Digital Literacy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§19251. Digital Literacy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§19251. DIGITAL LITERACY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