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Governing body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Governing body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§2903. GOVERNING BODY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