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3401</w:t>
        <w:t xml:space="preserve">.  </w:t>
      </w:r>
      <w:r>
        <w:rPr>
          <w:b/>
        </w:rPr>
        <w:t xml:space="preserve">Organization of unorganized unit</w:t>
      </w:r>
    </w:p>
    <w:p>
      <w:pPr>
        <w:jc w:val="both"/>
        <w:spacing w:before="100" w:after="100"/>
        <w:ind w:start="360"/>
        <w:ind w:firstLine="360"/>
      </w:pPr>
      <w:r>
        <w:rPr/>
      </w:r>
      <w:r>
        <w:rPr/>
      </w:r>
      <w:r>
        <w:t xml:space="preserve">If an unorganized unit becomes organized as a municipality or plantation, it shall, within 5 years of the date of organization, pay to the Treasurer of State for each school building within its limits erected or remodeled prior to August 20, 1951, a sum to be determined by the commissioner from records kept by the commissioner of the cost of these buildings, lots and improvements. The sum shall be credited to the General Fund.  A municipality or plantation dissatisfied with the sum determined by the commissioner may, after a vote taken by the municipality or plantation at a regular or special meeting called for the purpose, appeal to the Governor.  The Governor's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§3401. Organization of unorganized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§3401. Organization of unorganized unit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§3401. ORGANIZATION OF UNORGANIZED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