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3649</w:t>
        <w:t xml:space="preserve">.  </w:t>
      </w:r>
      <w:r>
        <w:rPr>
          <w:b/>
        </w:rPr>
        <w:t xml:space="preserve">Valuation</w:t>
      </w:r>
    </w:p>
    <w:p>
      <w:pPr>
        <w:jc w:val="both"/>
        <w:spacing w:before="100" w:after="100"/>
        <w:ind w:start="360"/>
        <w:ind w:firstLine="360"/>
      </w:pPr>
      <w:r>
        <w:rPr/>
      </w:r>
      <w:r>
        <w:rPr/>
      </w:r>
      <w:r>
        <w:t xml:space="preserve">The articles of agreement, or the amendment, shall provide for the determination of the value of the property to be acquired in one or more of the following ways: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In articles of agreement.</w:t>
        <w:t xml:space="preserve"> </w:t>
      </w:r>
      <w:r>
        <w:t xml:space="preserve"> </w:t>
      </w:r>
      <w:r>
        <w:t xml:space="preserve">A valuation set forth in the articles of agreement or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Appraisal.</w:t>
        <w:t xml:space="preserve"> </w:t>
      </w:r>
      <w:r>
        <w:t xml:space="preserve"> </w:t>
      </w:r>
      <w:r>
        <w:t xml:space="preserve">By appraisal, in which case, one appraiser shall be appointed by each commissioner, and a third appraiser appointed by the first 2 appraisers.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§3649.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§3649.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§3649.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