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Pledge of Allegiance</w:t>
      </w:r>
    </w:p>
    <w:p>
      <w:pPr>
        <w:jc w:val="both"/>
        <w:spacing w:before="100" w:after="100"/>
        <w:ind w:start="360"/>
        <w:ind w:firstLine="360"/>
      </w:pPr>
      <w:r>
        <w:rPr/>
      </w:r>
      <w:r>
        <w:rPr/>
      </w:r>
      <w:r>
        <w:t xml:space="preserve">A school administrative unit shall allow every student enrolled in the school administrative unit the opportunity to recite the Pledge of Allegiance at some point during a school day in which students are required to attend.  A school administrative unit may not require a student to recite the Pledge of Allegiance.</w:t>
      </w:r>
      <w:r>
        <w:t xml:space="preserve">  </w:t>
      </w:r>
      <w:r xmlns:wp="http://schemas.openxmlformats.org/drawingml/2010/wordprocessingDrawing" xmlns:w15="http://schemas.microsoft.com/office/word/2012/wordml">
        <w:rPr>
          <w:rFonts w:ascii="Arial" w:hAnsi="Arial" w:cs="Arial"/>
          <w:sz w:val="22"/>
          <w:szCs w:val="22"/>
        </w:rPr>
        <w:t xml:space="preserve">[PL 2011, c. 162, §1 (NEW).]</w:t>
      </w:r>
    </w:p>
    <w:p>
      <w:pPr>
        <w:jc w:val="both"/>
        <w:spacing w:before="100" w:after="100"/>
        <w:ind w:start="360"/>
      </w:pPr>
      <w:r>
        <w:rPr>
          <w:b w:val="true"/>
          <w:i/>
          <w:caps w:val="true"/>
        </w:rPr>
        <w:t xml:space="preserve">Revisor's Note: </w:t>
      </w:r>
      <w:r>
        <w:t>§4010.  Employment reference immunity (As enacted by PL 2011, c. 397, §1 is REALLOCATED TO TITLE 20-A, SECTION 4011)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PL 2011, c. 162, §1 (NEW). PL 2011, c. 397,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 Pledge of Allegiance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Pledge of Allegiance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§4010. PLEDGE OF ALLEGIANCE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