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w:t>
        <w:t xml:space="preserve">.  </w:t>
      </w:r>
      <w:r>
        <w:rPr>
          <w:b/>
        </w:rPr>
        <w:t xml:space="preserve">Kindergarten to grade 12 interventions</w:t>
      </w:r>
    </w:p>
    <w:p>
      <w:pPr>
        <w:jc w:val="both"/>
        <w:spacing w:before="100" w:after="100"/>
        <w:ind w:start="360"/>
        <w:ind w:firstLine="360"/>
      </w:pPr>
      <w:r>
        <w:rPr/>
      </w:r>
      <w:r>
        <w:rPr/>
      </w:r>
      <w:r>
        <w:t xml:space="preserve">By the school year that begins in the fall of 2012 all school administrative units shall develop and implement a system of interventions for kindergarten to grade 12 that provide each student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r>
        <w:t xml:space="preserve">  </w:t>
      </w:r>
      <w:r xmlns:wp="http://schemas.openxmlformats.org/drawingml/2010/wordprocessingDrawing" xmlns:w15="http://schemas.microsoft.com/office/word/2012/wordml">
        <w:rPr>
          <w:rFonts w:ascii="Arial" w:hAnsi="Arial" w:cs="Arial"/>
          <w:sz w:val="22"/>
          <w:szCs w:val="22"/>
        </w:rPr>
        <w:t xml:space="preserve">[PL 2009,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§4710. Kindergarten to grade 12 interventions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 Kindergarten to grade 12 interventions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§4710. KINDERGARTEN TO GRADE 12 INTERVENTIONS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