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Work permits</w:t>
      </w:r>
    </w:p>
    <w:p>
      <w:pPr>
        <w:jc w:val="both"/>
        <w:spacing w:before="100" w:after="100"/>
        <w:ind w:start="360"/>
        <w:ind w:firstLine="360"/>
      </w:pPr>
      <w:r>
        <w:rPr/>
      </w:r>
      <w:r>
        <w:rPr/>
      </w:r>
      <w:r>
        <w:t xml:space="preserve">Superintendents shall issue and revoke work permits for minor students as provided in </w:t>
      </w:r>
      <w:r>
        <w:t>Title 26, 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§5004. Work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Work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§5004. WORK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