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5054</w:t>
        <w:t xml:space="preserve">.  </w:t>
      </w:r>
      <w:r>
        <w:rPr>
          <w:b/>
        </w:rPr>
        <w:t xml:space="preserve">Employment of truants prohibited</w:t>
      </w:r>
    </w:p>
    <w:p>
      <w:pPr>
        <w:jc w:val="both"/>
        <w:spacing w:before="100" w:after="100"/>
        <w:ind w:start="360"/>
        <w:ind w:firstLine="360"/>
      </w:pPr>
      <w:r>
        <w:rPr/>
      </w:r>
      <w:r>
        <w:rPr/>
      </w:r>
      <w:r>
        <w:t xml:space="preserve">Any firm or corporation, or agent or manager of any firm or corporation, who hires or otherwise engages any student who is truant as defined in this subchapter without a release from the student's supervising superintendent of schools is subject to the penalty provided in </w:t>
      </w:r>
      <w:r>
        <w:t>Title 26, section 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§26 (NEW). PL 2011, c. 614,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§5054. Employment of truants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§5054. Employment of truants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§5054. EMPLOYMENT OF TRUANTS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