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6152</w:t>
        <w:t xml:space="preserve">.  </w:t>
      </w:r>
      <w:r>
        <w:rPr>
          <w:b/>
        </w:rPr>
        <w:t xml:space="preserve">Rules</w:t>
      </w:r>
    </w:p>
    <w:p>
      <w:pPr>
        <w:jc w:val="both"/>
        <w:spacing w:before="100" w:after="100"/>
        <w:ind w:start="360"/>
        <w:ind w:firstLine="360"/>
      </w:pPr>
      <w:r>
        <w:rPr/>
      </w:r>
      <w:r>
        <w:rPr/>
      </w:r>
      <w:r>
        <w:t xml:space="preserve">The commissioner shall adopt rules, consistent with federal and state laws, to carry out this subchapter which are consistent with federal and state requirements.</w:t>
      </w:r>
      <w:r>
        <w:t xml:space="preserve">  </w:t>
      </w:r>
      <w:r xmlns:wp="http://schemas.openxmlformats.org/drawingml/2010/wordprocessingDrawing" xmlns:w15="http://schemas.microsoft.com/office/word/2012/wordml">
        <w:rPr>
          <w:rFonts w:ascii="Arial" w:hAnsi="Arial" w:cs="Arial"/>
          <w:sz w:val="22"/>
          <w:szCs w:val="22"/>
        </w:rPr>
        <w:t xml:space="preserve">[PL 1989, c. 414,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§§A22,A25 (AMD). PL 1989, c. 414,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§6152.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