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6624</w:t>
        <w:t xml:space="preserve">.  </w:t>
      </w:r>
      <w:r>
        <w:rPr>
          <w:b/>
        </w:rPr>
        <w:t xml:space="preserve">Prohibition on use</w:t>
      </w:r>
    </w:p>
    <w:p>
      <w:pPr>
        <w:jc w:val="both"/>
        <w:spacing w:before="100" w:after="100"/>
        <w:ind w:start="360"/>
        <w:ind w:firstLine="360"/>
      </w:pPr>
      <w:r>
        <w:rPr/>
      </w:r>
      <w:r>
        <w:rPr/>
      </w:r>
      <w:r>
        <w:t xml:space="preserve">A student participating in interscholastic sports may not use a performance-enhancing substance on the list of banned substances developed and maintained under </w:t>
      </w:r>
      <w:r>
        <w:t>section 6621</w:t>
      </w:r>
      <w:r>
        <w:t xml:space="preserve">.  A student who violates this section is subject to sanctions as determined by the governing body with statutory powers and duties for the school administrative unit in which that student is enrolled.</w:t>
      </w:r>
      <w:r>
        <w:t xml:space="preserve">  </w:t>
      </w:r>
      <w:r xmlns:wp="http://schemas.openxmlformats.org/drawingml/2010/wordprocessingDrawing" xmlns:w15="http://schemas.microsoft.com/office/word/2012/wordml">
        <w:rPr>
          <w:rFonts w:ascii="Arial" w:hAnsi="Arial" w:cs="Arial"/>
          <w:sz w:val="22"/>
          <w:szCs w:val="22"/>
        </w:rPr>
        <w:t xml:space="preserve">[PL 2005, c. 674,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674,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§6624. Prohibition on use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§6624. Prohibition on use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§6624. PROHIBITION ON USE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