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213</w:t>
      </w:r>
    </w:p>
    <w:p>
      <w:pPr>
        <w:jc w:val="center"/>
        <w:ind w:start="360"/>
        <w:spacing w:before="300" w:after="300"/>
      </w:pPr>
      <w:r>
        <w:rPr>
          <w:b/>
        </w:rPr>
        <w:t xml:space="preserve">LEAVE OF ABSENCE AS LEGISLATORS</w:t>
      </w:r>
    </w:p>
    <w:p>
      <w:pPr>
        <w:jc w:val="both"/>
        <w:spacing w:before="100" w:after="100"/>
        <w:ind w:start="1080" w:hanging="720"/>
      </w:pPr>
      <w:r>
        <w:rPr>
          <w:b/>
        </w:rPr>
        <w:t>§</w:t>
        <w:t>2001</w:t>
        <w:t xml:space="preserve">.  </w:t>
      </w:r>
      <w:r>
        <w:rPr>
          <w:b/>
        </w:rPr>
        <w:t xml:space="preserve">Leave of absence as Legislators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213. LEAVE OF ABSENCE AS LEGISLATORS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213. LEAVE OF ABSENCE AS LEGISLATORS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213. LEAVE OF ABSENCE AS LEGISLATORS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