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§1128. Study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Study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§1128. STUDY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