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w:t>
        <w:t xml:space="preserve">.  </w:t>
      </w:r>
      <w:r>
        <w:rPr>
          <w:b/>
        </w:rPr>
        <w:t xml:space="preserve">Applications for voter registration</w:t>
      </w:r>
    </w:p>
    <w:p>
      <w:pPr>
        <w:jc w:val="both"/>
        <w:spacing w:before="100" w:after="100"/>
        <w:ind w:start="360"/>
        <w:ind w:firstLine="360"/>
      </w:pPr>
      <w:r>
        <w:rPr/>
      </w:r>
      <w:r>
        <w:rPr/>
      </w:r>
      <w:r>
        <w:t xml:space="preserve">A person who completes a written or online voter registration application, as provided in </w:t>
      </w:r>
      <w:r>
        <w:t>section 152</w:t>
      </w:r>
      <w:r>
        <w:t xml:space="preserve">, may submit the application online, mail the application or have the application delivered to the registrar in the person's municipality of residence before the deadline for online, mail or 3rd-person registrations in </w:t>
      </w:r>
      <w:r>
        <w:t>section 121‑A</w:t>
      </w:r>
      <w:r>
        <w:t xml:space="preserve">, to be entered into the central voter registration system and placed on the incoming voting list prior to the next election; except that applications completed under </w:t>
      </w:r>
      <w:r>
        <w:t>section 122, subsection 5</w:t>
      </w:r>
      <w:r>
        <w:t xml:space="preserve"> may be delivered during the closed period for immediate placement on the incoming voting list. A voter registration application transmitted by the Department of the Secretary of State, Bureau of Motor Vehicles pursuant to </w:t>
      </w:r>
      <w:r>
        <w:t>section 232</w:t>
      </w:r>
      <w:r>
        <w:t xml:space="preserve"> or by a source agency other than the Bureau of Motor Vehicles pursuant to </w:t>
      </w:r>
      <w:r>
        <w:t>section 233</w:t>
      </w:r>
      <w:r>
        <w:t xml:space="preserve"> to the appropriate registrar's office before the deadline in </w:t>
      </w:r>
      <w:r>
        <w:t>section 121‑A</w:t>
      </w:r>
      <w:r>
        <w:t xml:space="preserve"> must be entered into the central voter registration system and placed on the incoming voting list prior to the next election.</w:t>
      </w:r>
      <w:r>
        <w:t xml:space="preserve">  </w:t>
      </w:r>
      <w:r xmlns:wp="http://schemas.openxmlformats.org/drawingml/2010/wordprocessingDrawing" xmlns:w15="http://schemas.microsoft.com/office/word/2012/wordml">
        <w:rPr>
          <w:rFonts w:ascii="Arial" w:hAnsi="Arial" w:cs="Arial"/>
          <w:sz w:val="22"/>
          <w:szCs w:val="22"/>
        </w:rPr>
        <w:t xml:space="preserve">[PL 2023, c. 291, §3 (AMD); PL 2023, c. 291,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§9 (AMD). PL 1989, c. 694, §1 (AMD). PL 2005, c. 453, §22 (AMD). PL 2011, c. 534, §9 (AMD). PL 2021, c. 439, §5 (AMD). PL 2021, c. 439, §15 (AFF). PL 2023, c. 291, §3 (AMD). PL 2023, c. 291,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 Applications for voter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 Applications for voter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§130. APPLICATIONS FOR VOTER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