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Applicability of provisions</w:t>
      </w:r>
    </w:p>
    <w:p>
      <w:pPr>
        <w:jc w:val="both"/>
        <w:spacing w:before="100" w:after="100"/>
        <w:ind w:start="360"/>
        <w:ind w:firstLine="360"/>
      </w:pPr>
      <w:r>
        <w:rPr/>
      </w:r>
      <w:r>
        <w:rPr/>
      </w:r>
      <w:r>
        <w:t xml:space="preserve">This article applies to uniformed service voters or overseas voters who are covered by the federal Uniformed and Overseas Citizens Absentee Voting Act, 42 United States Code, Section 1973ff (2001).  The Secretary of State is responsible for carrying out the State's duties under that Act.</w:t>
      </w:r>
      <w:r>
        <w:t xml:space="preserve">  </w:t>
      </w:r>
      <w:r xmlns:wp="http://schemas.openxmlformats.org/drawingml/2010/wordprocessingDrawing" xmlns:w15="http://schemas.microsoft.com/office/word/2012/wordml">
        <w:rPr>
          <w:rFonts w:ascii="Arial" w:hAnsi="Arial" w:cs="Arial"/>
          <w:sz w:val="22"/>
          <w:szCs w:val="22"/>
        </w:rPr>
        <w:t xml:space="preserve">[PL 2003, c. 407,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§776.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