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1544</w:t>
        <w:t xml:space="preserve">.  </w:t>
      </w:r>
      <w:r>
        <w:rPr>
          <w:b/>
        </w:rPr>
        <w:t xml:space="preserve">Retaliation prohibited</w:t>
      </w:r>
    </w:p>
    <w:p>
      <w:pPr>
        <w:jc w:val="both"/>
        <w:spacing w:before="100" w:after="100"/>
        <w:ind w:start="360"/>
        <w:ind w:firstLine="360"/>
      </w:pPr>
      <w:r>
        <w:rPr/>
      </w:r>
      <w:r>
        <w:rPr/>
      </w:r>
      <w:r>
        <w:t xml:space="preserve">A person may not discharge, refuse to hire, discipline or otherwise retaliate against any person who pursues any remedy available to enforce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257,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PL 2005, c. 257,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§1544. Retaliation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§1544. Retaliation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§1544. RETALIATION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