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1554</w:t>
        <w:t xml:space="preserve">.  </w:t>
      </w:r>
      <w:r>
        <w:rPr>
          <w:b/>
        </w:rPr>
        <w:t xml:space="preserve">Sale without a valid license; crime;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2003, c. 452, §K4 (RP).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§1554. Sale without a valid license; crime;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§1554. Sale without a valid license; crime;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§1554. SALE WITHOUT A VALID LICENSE; CRIME;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