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Permit, bond</w:t>
      </w:r>
    </w:p>
    <w:p>
      <w:pPr>
        <w:jc w:val="both"/>
        <w:spacing w:before="100" w:after="100"/>
        <w:ind w:start="360"/>
        <w:ind w:firstLine="360"/>
      </w:pPr>
      <w:r>
        <w:rPr/>
      </w:r>
      <w:r>
        <w:rPr/>
      </w:r>
      <w:r>
        <w:t xml:space="preserve">The Department of Health and Human Services may also require, prior to the issuance of a permit, that the applicant furnish to the department a bond of a surety company qualified to do business in this State in such an amount as the department shall determine, but in no event more than $5,000, to ensure the public peace, safety and compensation of damage to property, public or private. This requirement for a bond does not preclude the applicant or any other persons from obtaining personal liability insurance for a mass outdoor gathering.  Cash or negotiable securities of equivalent value may be furnished in lieu of the bond.  The bond must guarantee cleanup by the applicant of the area used for the mass outdoor gathering, compliance by the applicant with any applicable state or local law or regulation and payment by the applicant of all proper claims against  the applicant for damage to real or personal property in the municipality for which the permit is issued and arising out of facts done or omitted to be done by the applicant, the applicant's agents or employees.  Any person having such a claim may bring an action upon the bond in the Superior Court of the county in which the municipality is located within one year of the occurrence of the act complained of.  In furnishing such a bond, the applicant is deemed to have appointed the surety company as agent for the service of process upon the applicant or if cash or securities are supplied in lieu of a bond, the applicant shall in writing appoint an agent for the service of process, irrevocably, for the term within which action may be brought before any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673, Pt. AA,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§5 (AMD). PL 2003, c. 673, §AA2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Permit,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Permit,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§1604. PERMIT,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