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Legislative intent</w:t>
      </w:r>
    </w:p>
    <w:p>
      <w:pPr>
        <w:jc w:val="both"/>
        <w:spacing w:before="100" w:after="100"/>
        <w:ind w:start="360"/>
        <w:ind w:firstLine="360"/>
      </w:pPr>
      <w:r>
        <w:rPr/>
      </w:r>
      <w:r>
        <w:rPr/>
      </w:r>
      <w:r>
        <w:t xml:space="preserve">The Legislature finds that family planning services are not sufficiently available as a practical matter to many persons in this State, that unwanted pregnancy may place severe medical, emotional, social and economic burdens on the family unit and that it is desirable that inhibitions and restrictions to the delivery of family planning services be reduced so that all persons desiring and needing such services have ready and practicable access to the services in appropriate settings sensitive to persons' needs and beliefs. The Legislature therefore declares that it is consistent with public policy to make available comprehensive medical knowledge, assistance and services relating to family planning.</w:t>
      </w:r>
      <w:r>
        <w:t xml:space="preserve">  </w:t>
      </w:r>
      <w:r xmlns:wp="http://schemas.openxmlformats.org/drawingml/2010/wordprocessingDrawing" xmlns:w15="http://schemas.microsoft.com/office/word/2012/wordml">
        <w:rPr>
          <w:rFonts w:ascii="Arial" w:hAnsi="Arial" w:cs="Arial"/>
          <w:sz w:val="22"/>
          <w:szCs w:val="22"/>
        </w:rPr>
        <w:t xml:space="preserve">[PL 2019, c. 236,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2019, c. 236,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§1901.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§1901.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