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Rules</w:t>
      </w:r>
    </w:p>
    <w:p>
      <w:pPr>
        <w:jc w:val="both"/>
        <w:spacing w:before="100" w:after="100"/>
        <w:ind w:start="360"/>
        <w:ind w:firstLine="360"/>
      </w:pPr>
      <w:r>
        <w:rPr/>
      </w:r>
      <w:r>
        <w:rPr/>
      </w:r>
      <w:r>
        <w:t xml:space="preserve">The commissioner is authorized and directed to adopt rules and establish programs to enable the department, either directly or under contractual arrangements with other organizations, to promptly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2019,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2003, c. 689, §§B6,7 (REV). PL 2019, c. 236,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