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w:t>
        <w:t xml:space="preserve">.  </w:t>
      </w:r>
      <w:r>
        <w:rPr>
          <w:b/>
        </w:rPr>
        <w:t xml:space="preserve">Unauthorized use of electronic benefits transfer system</w:t>
      </w:r>
    </w:p>
    <w:p>
      <w:pPr>
        <w:jc w:val="both"/>
        <w:spacing w:before="100" w:after="100"/>
        <w:ind w:start="360"/>
        <w:ind w:firstLine="360"/>
      </w:pPr>
      <w:r>
        <w:rPr>
          <w:b/>
        </w:rPr>
        <w:t>1</w:t>
        <w:t xml:space="preserve">.  </w:t>
      </w:r>
      <w:r>
        <w:rPr>
          <w:b/>
        </w:rPr>
        <w:t xml:space="preserve">Unauthorized spending of benefits.</w:t>
        <w:t xml:space="preserve"> </w:t>
      </w:r>
      <w:r>
        <w:t xml:space="preserve"> </w:t>
      </w:r>
      <w:r>
        <w:t xml:space="preserve">A recipient may not use the electronic benefits transfer system established under </w:t>
      </w:r>
      <w:r>
        <w:t>section 22</w:t>
      </w:r>
      <w:r>
        <w:t xml:space="preserve"> to effect any transaction in:</w:t>
      </w:r>
    </w:p>
    <w:p>
      <w:pPr>
        <w:jc w:val="both"/>
        <w:spacing w:before="100" w:after="0"/>
        <w:ind w:start="720"/>
      </w:pPr>
      <w:r>
        <w:rPr/>
        <w:t>A</w:t>
        <w:t xml:space="preserve">.  </w:t>
      </w:r>
      <w:r>
        <w:rPr/>
      </w:r>
      <w:r>
        <w:t xml:space="preserve">A retail establishment where 50% or more of the gross revenue of the establishment is derived from the sale of liquor as defined in </w:t>
      </w:r>
      <w:r>
        <w:t>Title 28‑A, section 2,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687, §4 (NEW).]</w:t>
      </w:r>
    </w:p>
    <w:p>
      <w:pPr>
        <w:jc w:val="both"/>
        <w:spacing w:before="100" w:after="0"/>
        <w:ind w:start="720"/>
      </w:pPr>
      <w:r>
        <w:rPr/>
        <w:t>B</w:t>
        <w:t xml:space="preserve">.  </w:t>
      </w:r>
      <w:r>
        <w:rPr/>
      </w:r>
      <w:r>
        <w:t xml:space="preserve">A gambling facility, as defined in </w:t>
      </w:r>
      <w:r>
        <w:t>Title 8, section 1001, subsection 16</w:t>
      </w:r>
      <w:r>
        <w:t xml:space="preserve">, except that use of the electronic benefits transfer system is permitted in any portion of the premises of a gambling facility that is set aside separately for the sale primarily of staple foods as defined in 7 United States Code, Section 2012(r); or</w:t>
      </w:r>
      <w:r>
        <w:t xml:space="preserve">  </w:t>
      </w:r>
      <w:r xmlns:wp="http://schemas.openxmlformats.org/drawingml/2010/wordprocessingDrawing" xmlns:w15="http://schemas.microsoft.com/office/word/2012/wordml">
        <w:rPr>
          <w:rFonts w:ascii="Arial" w:hAnsi="Arial" w:cs="Arial"/>
          <w:sz w:val="22"/>
          <w:szCs w:val="22"/>
        </w:rPr>
        <w:t xml:space="preserve">[RR 2011, c. 2, §23 (COR).]</w:t>
      </w:r>
    </w:p>
    <w:p>
      <w:pPr>
        <w:jc w:val="both"/>
        <w:spacing w:before="100" w:after="0"/>
        <w:ind w:start="720"/>
      </w:pPr>
      <w:r>
        <w:rPr/>
        <w:t>C</w:t>
        <w:t xml:space="preserve">.  </w:t>
      </w:r>
      <w:r>
        <w:rPr/>
      </w:r>
      <w:r>
        <w:t xml:space="preserve">A retail establishment that provides adult-oriented entertainment in which performers disrobe or perform in an unclothed state for entertainment.</w:t>
      </w:r>
      <w:r>
        <w:t xml:space="preserve">  </w:t>
      </w:r>
      <w:r xmlns:wp="http://schemas.openxmlformats.org/drawingml/2010/wordprocessingDrawing" xmlns:w15="http://schemas.microsoft.com/office/word/2012/wordml">
        <w:rPr>
          <w:rFonts w:ascii="Arial" w:hAnsi="Arial" w:cs="Arial"/>
          <w:sz w:val="22"/>
          <w:szCs w:val="22"/>
        </w:rPr>
        <w:t xml:space="preserve">[PL 2011, c. 687,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§23 (COR).]</w:t>
      </w:r>
    </w:p>
    <w:p>
      <w:pPr>
        <w:jc w:val="both"/>
        <w:spacing w:before="100" w:after="0"/>
        <w:ind w:start="360"/>
        <w:ind w:firstLine="360"/>
      </w:pPr>
      <w:r>
        <w:rPr>
          <w:b/>
        </w:rPr>
        <w:t>2</w:t>
        <w:t xml:space="preserve">.  </w:t>
      </w:r>
      <w:r>
        <w:rPr>
          <w:b/>
        </w:rPr>
        <w:t xml:space="preserve">Rulemaking.</w:t>
        <w:t xml:space="preserve"> </w:t>
      </w:r>
      <w:r>
        <w:t xml:space="preserve"> </w:t>
      </w:r>
      <w:r>
        <w:t xml:space="preserve">The department shall adopt rules to implement this section.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§23 (COR). PL 2011, c. 687,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§23. Unauthorized use of electronic benefits transfer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 Unauthorized use of electronic benefits transfer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 UNAUTHORIZED USE OF ELECTRONIC BENEFITS TRANSFER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