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2422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2009, c. 1, §5 (NEW). PL 2009, c. 631, §§8-19 (AMD). PL 2009, c. 631, §51 (AFF). PL 2011, c. 407, Pt. B, §§1-15 (AMD). PL 2013, c. 361, §1 (AMD). PL 2013, c. 396, §1 (AMD). PL 2013, c. 503, §1 (AMD). PL 2013, c. 516, §§1-5 (AMD). PL 2015, c. 475, §§1-5 (AMD). PL 2017, c. 409, Pt. E, §2 (AMD). PL 2017, c. 447, §§1-3 (AMD). PL 2017, c. 452, §3 (AMD). PL 2019, c. 217, §1 (AMD). PL 2019, c. 256, §1 (AMD). PL 2019, c. 331, §§1-4 (AMD). PL 2019, c. 528, §§12-16 (AMD). PL 2021, c. 251, §§1-3 (AMD). PL 2021, c. 293, Pt. A, §§25, 26 (AMD). PL 2021, c. 662, §§1-8 (AMD). PL 2021, c. 669, §3 (AMD). PL 2021, c. 669, §5 (REV). PL 2021, c. 676, Pt. A, §33 (AMD). PL 2023, c. 6, §1 (AMD). PL 2023, c. 679, Pt. A,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§2422.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§2422.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§2422.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