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2612-A</w:t>
        <w:t xml:space="preserve">.  </w:t>
      </w:r>
      <w:r>
        <w:rPr>
          <w:b/>
        </w:rPr>
        <w:t xml:space="preserve">Capacity development</w:t>
      </w:r>
    </w:p>
    <w:p>
      <w:pPr>
        <w:jc w:val="both"/>
        <w:spacing w:before="100" w:after="0"/>
        <w:ind w:start="360"/>
        <w:ind w:firstLine="360"/>
      </w:pPr>
      <w:r>
        <w:rPr>
          <w:b/>
        </w:rPr>
        <w:t>1</w:t>
        <w:t xml:space="preserve">.  </w:t>
      </w:r>
      <w:r>
        <w:rPr>
          <w:b/>
        </w:rPr>
        <w:t xml:space="preserve">Authority.</w:t>
        <w:t xml:space="preserve"> </w:t>
      </w:r>
      <w:r>
        <w:t xml:space="preserve"> </w:t>
      </w:r>
      <w:r>
        <w:t xml:space="preserve">The commissioner is authorized to ensure that all new community water systems and new nontransient, noncommunity systems commencing operation after October 1, 1999 demonstrate technical, managerial and financial capacity with respect to each state primary drinking water regulation in effect, or likely to be in effect, on the date of commencement of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§2 (NEW).]</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commissioner shall adopt rules to ensure that all new community water systems and new nontransient, noncommunity systems commencing operation after October 1, 1999 demonstrate technical, managerial and financial capacity with respect to each state primary drinking water regulation in effect, or likely to be in effect, on the date of commencement of operations.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§2612-A. Capacity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§2612-A. Capacity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§2612-A. CAPACITY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