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License from outside the State</w:t>
      </w:r>
    </w:p>
    <w:p>
      <w:pPr>
        <w:jc w:val="both"/>
        <w:spacing w:before="100" w:after="100"/>
        <w:ind w:start="360"/>
        <w:ind w:firstLine="360"/>
      </w:pPr>
      <w:r>
        <w:rPr/>
      </w:r>
      <w:r>
        <w:rPr/>
      </w:r>
      <w:r>
        <w:t xml:space="preserve">The Board of Licensure of Water System Operators, upon application for licensure, may issue a license without examination, in a comparable classification, to any person who holds a license in any state, territory or possession of the United States or any country, providing the requirements for licensure of operators under which the person's license was issued does not conflict with this chapter and, in the opinion of the board, are of a standard not lower than that specified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§29 (AMD). PL 1995, c. 442, §7 (AMD). PL 2003, c. 33,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§2626. License from outside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License from outside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§2626. LICENSE FROM OUTSIDE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