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Licensure</w:t>
      </w:r>
    </w:p>
    <w:p>
      <w:pPr>
        <w:jc w:val="both"/>
        <w:spacing w:before="100" w:after="100"/>
        <w:ind w:start="360"/>
        <w:ind w:firstLine="360"/>
      </w:pPr>
      <w:r>
        <w:rPr/>
      </w:r>
      <w:r>
        <w:rPr/>
      </w:r>
      <w:r>
        <w:t xml:space="preserve">If a public water system loses its licensed  operator, it shall secure a new licensed operator or enter into a contractual agreement with a licensed operator of proper classification until a new operator has been employed for that public water system.</w:t>
      </w:r>
      <w:r>
        <w:t xml:space="preserve">  </w:t>
      </w:r>
      <w:r xmlns:wp="http://schemas.openxmlformats.org/drawingml/2010/wordprocessingDrawing" xmlns:w15="http://schemas.microsoft.com/office/word/2012/wordml">
        <w:rPr>
          <w:rFonts w:ascii="Arial" w:hAnsi="Arial" w:cs="Arial"/>
          <w:sz w:val="22"/>
          <w:szCs w:val="22"/>
        </w:rPr>
        <w:t xml:space="preserve">[PL 2003, c. 33,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§3 (AMD). PL 1983, c. 819, §A55 (AMD). PL 1995, c. 442, §8 (AMD). PL 1999, c. 688, §7 (AMD). PL 2003, c. 33,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§2630.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§2630.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