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3173-D</w:t>
        <w:t xml:space="preserve">.  </w:t>
      </w:r>
      <w:r>
        <w:rPr>
          <w:b/>
        </w:rPr>
        <w:t xml:space="preserve">Reimbursement for substance use disorder treatment</w:t>
      </w:r>
    </w:p>
    <w:p>
      <w:pPr>
        <w:jc w:val="both"/>
        <w:spacing w:before="100" w:after="100"/>
        <w:ind w:start="360"/>
        <w:ind w:firstLine="360"/>
      </w:pPr>
      <w:r>
        <w:rPr/>
      </w:r>
      <w:r>
        <w:rPr/>
      </w:r>
      <w:r>
        <w:t xml:space="preserve">The department shall provide reimbursement, to the maximum extent allowable, under the United States Social Security Act, Title XIX, for substance use disorder treatment.  Treatment must include, but need not be limited to, residential treatment and outpatient care as defined in </w:t>
      </w:r>
      <w:r>
        <w:t>Title 24‑A, section 2842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407, Pt. A, §77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752, §1 (NEW). PL 2017, c. 407, Pt. A, §77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§3173-D. Reimbursement for substance use disorder treatment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§3173-D. Reimbursement for substance use disorder treatment</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§3173-D. REIMBURSEMENT FOR SUBSTANCE USE DISORDER TREATMENT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