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373</w:t>
        <w:t xml:space="preserve">.  </w:t>
      </w:r>
      <w:r>
        <w:rPr>
          <w:b/>
        </w:rPr>
        <w:t xml:space="preserve">Rulemaking</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1/01/27)</w:t>
      </w:r>
    </w:p>
    <w:p>
      <w:pPr>
        <w:jc w:val="both"/>
        <w:spacing w:before="100" w:after="100"/>
        <w:ind w:start="360"/>
        <w:ind w:firstLine="360"/>
      </w:pPr>
      <w:r>
        <w:rPr/>
      </w:r>
      <w:r>
        <w:rPr/>
      </w:r>
      <w:r>
        <w:t xml:space="preserve">The department may, after notice and hearing pursuant to </w:t>
      </w:r>
      <w:r>
        <w:t>Title 5, chapter 375, subchapter 2</w:t>
      </w:r>
      <w:r>
        <w:t xml:space="preserve">, adopt rules to carry out this chapter.  Rules adopted pursuant to this section are major substantive rules pursuant to </w:t>
      </w:r>
      <w:r>
        <w:t>Title 5, chapter 375, subchapter 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§373. Rulemaking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§373. Rulemaking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§373. RULEMAKING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