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3871</w:t>
        <w:t xml:space="preserve">.  </w:t>
      </w:r>
      <w:r>
        <w:rPr>
          <w:b/>
        </w:rPr>
        <w:t xml:space="preserve">Purpose</w:t>
      </w:r>
    </w:p>
    <w:p>
      <w:pPr>
        <w:jc w:val="both"/>
        <w:spacing w:before="100" w:after="100"/>
        <w:ind w:start="360"/>
        <w:ind w:firstLine="360"/>
      </w:pPr>
      <w:r>
        <w:rPr/>
      </w:r>
      <w:r>
        <w:rPr/>
      </w:r>
      <w:r>
        <w:t xml:space="preserve">The purpose of this chapter is to encourage and maintain coordinated community efforts in each county to prevent child abuse and neglect through the provision of family-strengthening programs, including, but not limited to, public awareness activities, child safety education, parent education, support and information for parents, referral to services and training for professionals, and to ensure adequate intervention and treatment for abused and neglected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2009, c. 204,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§3871.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