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§4010-E. OFFICE OF CHILD AND FAMILY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