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Privileged or confidential communications</w:t>
      </w:r>
    </w:p>
    <w:p>
      <w:pPr>
        <w:jc w:val="both"/>
        <w:spacing w:before="100" w:after="100"/>
        <w:ind w:start="360"/>
        <w:ind w:firstLine="360"/>
      </w:pPr>
      <w:r>
        <w:rPr/>
      </w:r>
      <w:r>
        <w:rPr/>
      </w:r>
      <w:r>
        <w:t xml:space="preserve">The husband-wife and physician and psychotherapist-patient privileges under the Maine Rules of Evidence and the confidential quality of communication under </w:t>
      </w:r>
      <w:r>
        <w:t>Title 16, section 53‑B</w:t>
      </w:r>
      <w:r>
        <w:t xml:space="preserve">; </w:t>
      </w:r>
      <w:r>
        <w:t>Title 20‑A, sections 4008</w:t>
      </w:r>
      <w:r>
        <w:t xml:space="preserve"> and </w:t>
      </w:r>
      <w:r>
        <w:t>6001</w:t>
      </w:r>
      <w:r>
        <w:t xml:space="preserve">, to the extent allowed by applicable federal law; </w:t>
      </w:r>
      <w:r>
        <w:t>Title 24‑A, section 4224</w:t>
      </w:r>
      <w:r>
        <w:t xml:space="preserve">; </w:t>
      </w:r>
      <w:r>
        <w:t>Title 32, sections 7005</w:t>
      </w:r>
      <w:r>
        <w:t xml:space="preserve"> and </w:t>
      </w:r>
      <w:r>
        <w:t>18393</w:t>
      </w:r>
      <w:r>
        <w:t xml:space="preserve">; and </w:t>
      </w:r>
      <w:r>
        <w:t>Title 34‑B, section 1207</w:t>
      </w:r>
      <w:r>
        <w:t xml:space="preserve">, are abrogated in relation to required reporting, cooperating with the department or a guardian ad litem in an investigation or other child protective activity or giving evidence in a child protection proceeding.  Information released to the department pursuant to this section must be kept confidential and may not be disclosed by the department except as provided in </w:t>
      </w:r>
      <w:r>
        <w:t>section 4008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§7 (AMD).]</w:t>
      </w:r>
    </w:p>
    <w:p>
      <w:pPr>
        <w:jc w:val="both"/>
        <w:spacing w:before="100" w:after="100"/>
        <w:ind w:start="360"/>
        <w:ind w:firstLine="360"/>
      </w:pPr>
      <w:r>
        <w:rPr/>
      </w:r>
      <w:r>
        <w:rPr/>
      </w:r>
      <w:r>
        <w:t xml:space="preserve">Statements made to a licensed mental health professional in the course of counseling, therapy or evaluation where the privilege is abrogated under this section may not be used against the client in a criminal proceeding.  Nothing in this section may limit any responsibilities of the professional pursuant to this Act.</w:t>
      </w:r>
      <w:r>
        <w:t xml:space="preserve">  </w:t>
      </w:r>
      <w:r xmlns:wp="http://schemas.openxmlformats.org/drawingml/2010/wordprocessingDrawing" xmlns:w15="http://schemas.microsoft.com/office/word/2012/wordml">
        <w:rPr>
          <w:rFonts w:ascii="Arial" w:hAnsi="Arial" w:cs="Arial"/>
          <w:sz w:val="22"/>
          <w:szCs w:val="22"/>
        </w:rPr>
        <w:t xml:space="preserve">[PL 2001, c. 696,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1981, c. 211, §1 (AMD). PL 1983, c. 781, §2 (AMD). PL 1985, c. 495, §21 (AMD). PL 2001, c. 696, §22 (AMD). PL 2015, c. 429,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§4015. Privileged or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Privileged or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§4015. PRIVILEGED OR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