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4242</w:t>
        <w:t xml:space="preserve">.  </w:t>
      </w:r>
      <w:r>
        <w:rPr>
          <w:b/>
        </w:rPr>
        <w:t xml:space="preserve">Financial responsibility</w:t>
      </w:r>
    </w:p>
    <w:p>
      <w:pPr>
        <w:jc w:val="both"/>
        <w:spacing w:before="100" w:after="100"/>
        <w:ind w:start="360"/>
        <w:ind w:firstLine="360"/>
      </w:pPr>
      <w:r>
        <w:rPr/>
      </w:r>
      <w:r>
        <w:rPr/>
      </w:r>
      <w:r>
        <w:t xml:space="preserve">Financial responsibility for any child placed pursuant to the Interstate Compact on the Placement of Children shall be determined in accordance with </w:t>
      </w:r>
      <w:r>
        <w:t>Article V</w:t>
      </w:r>
      <w:r>
        <w:t xml:space="preserve"> thereof in the first instance. In the event of partial or complete default of performance thereunder the Department of Health and Human Services or the private agency supervising the child shall assume financial responsibility.</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§4242.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§4242.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§4242.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