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Removal of obstructions</w:t>
      </w:r>
    </w:p>
    <w:p>
      <w:pPr>
        <w:jc w:val="both"/>
        <w:spacing w:before="100" w:after="100"/>
        <w:ind w:start="360"/>
        <w:ind w:firstLine="360"/>
      </w:pPr>
      <w:r>
        <w:rPr/>
      </w:r>
      <w:r>
        <w:rPr/>
      </w:r>
      <w:r>
        <w:t xml:space="preserve">When logs, lumber or other obstructions, without necessity, are left within the limits of any highway right-of-way under the supervision and maintenance of or construction by the department, it may cause them to be removed, and shall not be liable for loss or damage thereof, unless occasioned by design or gross negligence. When no one appears to pay for the expense and trouble of removal, the department may sell at public auction so much thereof as is sufficient for that purpose, including charges of sale. The person through whose neglect or willful default they were left may be prosecuted as for a nuisance.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§1402. Removal of obstructions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Removal of obstructions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§1402. REMOVAL OF OBSTRUCTIONS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