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§5071. Approval of location;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Approval of location;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§5071. APPROVAL OF LOCATION;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