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Shares</w:t>
      </w:r>
    </w:p>
    <w:p>
      <w:pPr>
        <w:jc w:val="both"/>
        <w:spacing w:before="100" w:after="100"/>
        <w:ind w:start="360"/>
        <w:ind w:firstLine="360"/>
      </w:pPr>
      <w:r>
        <w:rPr/>
      </w:r>
      <w:r>
        <w:rPr/>
      </w:r>
      <w:r>
        <w:t xml:space="preserve">Shares in the capital of railroad corporations are personal estate and may be transferred in the same manner and with the same rights as shares in other corporations are transferred.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§5151.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§5151.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